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20"/>
        <w:gridCol w:w="5220"/>
      </w:tblGrid>
      <w:tr>
        <w:tc>
          <w:tcPr>
            <w:tcW w:type="dxa" w:w="5220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r>
              <w:drawing>
                <wp:inline distT="0" distB="0" distL="0" distR="0">
                  <wp:extent cx="1600200" cy="688047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688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20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5B6B7B"/>
                <w:spacing w:val="20"/>
                <w:sz w:val="15"/>
                <w:szCs w:val="15"/>
              </w:rPr>
              <w:t xml:space="preserve">STAFF REFERENCE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5B6B7B"/>
                <w:spacing w:val="20"/>
                <w:sz w:val="15"/>
                <w:szCs w:val="15"/>
              </w:rPr>
              <w:t xml:space="preserve">IMAGING MODALITIES</w:t>
            </w:r>
          </w:p>
        </w:tc>
      </w:tr>
    </w:tbl>
    <w:p>
      <w:pPr>
        <w:pBdr>
          <w:bottom w:val="single" w:color="1BA9E0" w:sz="18" w:space="1"/>
        </w:pBdr>
        <w:spacing w:after="140" w:before="60"/>
      </w:pPr>
    </w:p>
    <w:p>
      <w:pPr>
        <w:spacing w:after="20"/>
      </w:pPr>
      <w:r>
        <w:rPr>
          <w:rFonts w:ascii="Calibri" w:cs="Calibri" w:eastAsia="Calibri" w:hAnsi="Calibri"/>
          <w:b/>
          <w:bCs/>
          <w:color w:val="123A5E"/>
          <w:sz w:val="40"/>
          <w:szCs w:val="40"/>
        </w:rPr>
        <w:t xml:space="preserve">Retinal Imaging on the Topcon Maestro 3D</w:t>
      </w:r>
    </w:p>
    <w:p>
      <w:pPr>
        <w:spacing w:after="160"/>
      </w:pPr>
      <w:r>
        <w:rPr>
          <w:rFonts w:ascii="Calibri" w:cs="Calibri" w:eastAsia="Calibri" w:hAnsi="Calibri"/>
          <w:color w:val="5B6B7B"/>
          <w:sz w:val="21"/>
          <w:szCs w:val="21"/>
        </w:rPr>
        <w:t xml:space="preserve">Color fundus · OCT · OCT-A — what each captures and why the study collects it</w:t>
      </w:r>
    </w:p>
    <w:p>
      <w:pPr>
        <w:spacing w:after="1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3"/>
          <w:sz w:val="21"/>
          <w:szCs w:val="21"/>
        </w:rPr>
        <w:t xml:space="preserve">The Topcon Maestro 3D acquires all three modalities below in a single, automated, non-contact session. Use this sheet to understand what each scan shows and to answer patient questions. Reminder: </w:t>
      </w:r>
      <w:r>
        <w:rPr>
          <w:rFonts w:ascii="Calibri" w:cs="Calibri" w:eastAsia="Calibri" w:hAnsi="Calibri"/>
          <w:b/>
          <w:bCs/>
          <w:i w:val="false"/>
          <w:iCs w:val="false"/>
          <w:color w:val="0D2C48"/>
          <w:sz w:val="21"/>
          <w:szCs w:val="21"/>
        </w:rPr>
        <w:t xml:space="preserve">only imaging acquired as part of routine clinical care is included — nothing is captured solely for research.</w:t>
      </w:r>
    </w:p>
    <w:p>
      <w:pPr>
        <w:spacing w:after="2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099"/>
        <w:gridCol w:w="3341"/>
      </w:tblGrid>
      <w:tr>
        <w:tc>
          <w:tcPr>
            <w:tcW w:type="dxa" w:w="7099"/>
            <w:shd w:fill="123A5E" w:color="auto" w:val="clear"/>
            <w:tcMar>
              <w:top w:type="dxa" w:w="70"/>
              <w:left w:type="dxa" w:w="160"/>
              <w:bottom w:type="dxa" w:w="7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Color Fundus Photography</w:t>
            </w:r>
          </w:p>
        </w:tc>
        <w:tc>
          <w:tcPr>
            <w:tcW w:type="dxa" w:w="3341"/>
            <w:shd w:fill="123A5E" w:color="auto" w:val="clear"/>
            <w:tcMar>
              <w:top w:type="dxa" w:w="70"/>
              <w:left w:type="dxa" w:w="80"/>
              <w:bottom w:type="dxa" w:w="70"/>
              <w:right w:type="dxa" w:w="16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BFE6F5"/>
                <w:spacing w:val="20"/>
                <w:sz w:val="15"/>
                <w:szCs w:val="15"/>
              </w:rPr>
              <w:t xml:space="preserve">CFP</w:t>
            </w:r>
          </w:p>
        </w:tc>
      </w:tr>
    </w:tbl>
    <w:tbl>
      <w:tblPr>
        <w:tblW w:type="dxa" w:w="10440"/>
        <w:tblBorders>
          <w:top w:val="none"/>
          <w:left w:val="single" w:color="D8E2EA" w:sz="4"/>
          <w:bottom w:val="single" w:color="D8E2EA" w:sz="4"/>
          <w:right w:val="single" w:color="D8E2EA" w:sz="4"/>
          <w:insideH w:val="none"/>
          <w:insideV w:val="none"/>
        </w:tblBorders>
      </w:tblPr>
      <w:tblGrid>
        <w:gridCol w:w="10440"/>
      </w:tblGrid>
      <w:tr>
        <w:tc>
          <w:tcPr>
            <w:tcW w:type="dxa" w:w="10440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1BA9E0"/>
                <w:spacing w:val="16"/>
                <w:sz w:val="15"/>
                <w:szCs w:val="15"/>
              </w:rPr>
              <w:t xml:space="preserve">WHAT IT CAPTURES</w:t>
            </w:r>
          </w:p>
          <w:p>
            <w:pPr>
              <w:spacing w:after="7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3"/>
                <w:sz w:val="19"/>
                <w:szCs w:val="19"/>
              </w:rPr>
              <w:t xml:space="preserve">A wide, true-color photograph of the surface of the retina — the optic nerve head, macula, and the retinal blood vessels — in a single non-mydriatic (typically no-dilation) shot.</w:t>
            </w:r>
          </w:p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1BA9E0"/>
                <w:spacing w:val="16"/>
                <w:sz w:val="15"/>
                <w:szCs w:val="15"/>
              </w:rPr>
              <w:t xml:space="preserve">WHY THE STUDY COLLECTS IT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3"/>
                <w:sz w:val="19"/>
                <w:szCs w:val="19"/>
              </w:rPr>
              <w:t xml:space="preserve">The retinal vessels are the only blood vessels in the body that can be photographed directly and non-invasively. Their caliber, branching, and appearance carry signals linked to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D2C48"/>
                <w:sz w:val="19"/>
                <w:szCs w:val="19"/>
              </w:rPr>
              <w:t xml:space="preserve">cardiovascular and systemic vascular health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3"/>
                <w:sz w:val="19"/>
                <w:szCs w:val="19"/>
              </w:rPr>
              <w:t xml:space="preserve">, making the color photo a foundational input for the AI analysis.</w:t>
            </w:r>
          </w:p>
        </w:tc>
      </w:tr>
    </w:tbl>
    <w:p>
      <w:pPr>
        <w:spacing w:after="3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099"/>
        <w:gridCol w:w="3341"/>
      </w:tblGrid>
      <w:tr>
        <w:tc>
          <w:tcPr>
            <w:tcW w:type="dxa" w:w="7099"/>
            <w:shd w:fill="123A5E" w:color="auto" w:val="clear"/>
            <w:tcMar>
              <w:top w:type="dxa" w:w="70"/>
              <w:left w:type="dxa" w:w="160"/>
              <w:bottom w:type="dxa" w:w="7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Optical Coherence Tomography</w:t>
            </w:r>
          </w:p>
        </w:tc>
        <w:tc>
          <w:tcPr>
            <w:tcW w:type="dxa" w:w="3341"/>
            <w:shd w:fill="123A5E" w:color="auto" w:val="clear"/>
            <w:tcMar>
              <w:top w:type="dxa" w:w="70"/>
              <w:left w:type="dxa" w:w="80"/>
              <w:bottom w:type="dxa" w:w="70"/>
              <w:right w:type="dxa" w:w="16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BFE6F5"/>
                <w:spacing w:val="20"/>
                <w:sz w:val="15"/>
                <w:szCs w:val="15"/>
              </w:rPr>
              <w:t xml:space="preserve">OCT · STRUCTURAL</w:t>
            </w:r>
          </w:p>
        </w:tc>
      </w:tr>
    </w:tbl>
    <w:tbl>
      <w:tblPr>
        <w:tblW w:type="dxa" w:w="10440"/>
        <w:tblBorders>
          <w:top w:val="none"/>
          <w:left w:val="single" w:color="D8E2EA" w:sz="4"/>
          <w:bottom w:val="single" w:color="D8E2EA" w:sz="4"/>
          <w:right w:val="single" w:color="D8E2EA" w:sz="4"/>
          <w:insideH w:val="none"/>
          <w:insideV w:val="none"/>
        </w:tblBorders>
      </w:tblPr>
      <w:tblGrid>
        <w:gridCol w:w="10440"/>
      </w:tblGrid>
      <w:tr>
        <w:tc>
          <w:tcPr>
            <w:tcW w:type="dxa" w:w="10440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1BA9E0"/>
                <w:spacing w:val="16"/>
                <w:sz w:val="15"/>
                <w:szCs w:val="15"/>
              </w:rPr>
              <w:t xml:space="preserve">WHAT IT CAPTURES</w:t>
            </w:r>
          </w:p>
          <w:p>
            <w:pPr>
              <w:spacing w:after="7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3"/>
                <w:sz w:val="19"/>
                <w:szCs w:val="19"/>
              </w:rPr>
              <w:t xml:space="preserve">A high-resolution cross-sectional (“optical biopsy”) scan that images the individual layers of the retina in depth, including the nerve fiber and ganglion cell layers and the macula, at micron-level detail.</w:t>
            </w:r>
          </w:p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1BA9E0"/>
                <w:spacing w:val="16"/>
                <w:sz w:val="15"/>
                <w:szCs w:val="15"/>
              </w:rPr>
              <w:t xml:space="preserve">WHY THE STUDY COLLECTS IT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3"/>
                <w:sz w:val="19"/>
                <w:szCs w:val="19"/>
              </w:rPr>
              <w:t xml:space="preserve">Retinal layer thickness reflects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D2C48"/>
                <w:sz w:val="19"/>
                <w:szCs w:val="19"/>
              </w:rPr>
              <w:t xml:space="preserve">neural tissue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3"/>
                <w:sz w:val="19"/>
                <w:szCs w:val="19"/>
              </w:rPr>
              <w:t xml:space="preserve"> — a direct extension of the central nervous system. Structural OCT provides quantitative measures relevant to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D2C48"/>
                <w:sz w:val="19"/>
                <w:szCs w:val="19"/>
              </w:rPr>
              <w:t xml:space="preserve">brain aging, neurodegeneration, and stroke risk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3"/>
                <w:sz w:val="19"/>
                <w:szCs w:val="19"/>
              </w:rPr>
              <w:t xml:space="preserve">, complementing what the surface photo cannot show.</w:t>
            </w:r>
          </w:p>
        </w:tc>
      </w:tr>
    </w:tbl>
    <w:p>
      <w:pPr>
        <w:spacing w:after="3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099"/>
        <w:gridCol w:w="3341"/>
      </w:tblGrid>
      <w:tr>
        <w:tc>
          <w:tcPr>
            <w:tcW w:type="dxa" w:w="7099"/>
            <w:shd w:fill="123A5E" w:color="auto" w:val="clear"/>
            <w:tcMar>
              <w:top w:type="dxa" w:w="70"/>
              <w:left w:type="dxa" w:w="160"/>
              <w:bottom w:type="dxa" w:w="7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OCT Angiography</w:t>
            </w:r>
          </w:p>
        </w:tc>
        <w:tc>
          <w:tcPr>
            <w:tcW w:type="dxa" w:w="3341"/>
            <w:shd w:fill="123A5E" w:color="auto" w:val="clear"/>
            <w:tcMar>
              <w:top w:type="dxa" w:w="70"/>
              <w:left w:type="dxa" w:w="80"/>
              <w:bottom w:type="dxa" w:w="70"/>
              <w:right w:type="dxa" w:w="16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BFE6F5"/>
                <w:spacing w:val="20"/>
                <w:sz w:val="15"/>
                <w:szCs w:val="15"/>
              </w:rPr>
              <w:t xml:space="preserve">OCT-A · IF AVAILABLE</w:t>
            </w:r>
          </w:p>
        </w:tc>
      </w:tr>
    </w:tbl>
    <w:tbl>
      <w:tblPr>
        <w:tblW w:type="dxa" w:w="10440"/>
        <w:tblBorders>
          <w:top w:val="none"/>
          <w:left w:val="single" w:color="D8E2EA" w:sz="4"/>
          <w:bottom w:val="single" w:color="D8E2EA" w:sz="4"/>
          <w:right w:val="single" w:color="D8E2EA" w:sz="4"/>
          <w:insideH w:val="none"/>
          <w:insideV w:val="none"/>
        </w:tblBorders>
      </w:tblPr>
      <w:tblGrid>
        <w:gridCol w:w="10440"/>
      </w:tblGrid>
      <w:tr>
        <w:tc>
          <w:tcPr>
            <w:tcW w:type="dxa" w:w="10440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1BA9E0"/>
                <w:spacing w:val="16"/>
                <w:sz w:val="15"/>
                <w:szCs w:val="15"/>
              </w:rPr>
              <w:t xml:space="preserve">WHAT IT CAPTURES</w:t>
            </w:r>
          </w:p>
          <w:p>
            <w:pPr>
              <w:spacing w:after="7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3"/>
                <w:sz w:val="19"/>
                <w:szCs w:val="19"/>
              </w:rPr>
              <w:t xml:space="preserve">A dye-free map of blood flow through the fine capillary networks of the retina and choroid, imaging the microvasculature layer by layer without any injection.</w:t>
            </w:r>
          </w:p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1BA9E0"/>
                <w:spacing w:val="16"/>
                <w:sz w:val="15"/>
                <w:szCs w:val="15"/>
              </w:rPr>
              <w:t xml:space="preserve">WHY THE STUDY COLLECTS IT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3"/>
                <w:sz w:val="19"/>
                <w:szCs w:val="19"/>
              </w:rPr>
              <w:t xml:space="preserve">OCT-A visualizes the smallest vessels — the microcirculation — where early damage from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D2C48"/>
                <w:sz w:val="19"/>
                <w:szCs w:val="19"/>
              </w:rPr>
              <w:t xml:space="preserve">diabetes, kidney disease, and vascular disease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3"/>
                <w:sz w:val="19"/>
                <w:szCs w:val="19"/>
              </w:rPr>
              <w:t xml:space="preserve"> often first appears. When clinically acquired, it adds a rich microvascular signal to the analysis.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1F2933"/>
                <w:sz w:val="19"/>
                <w:szCs w:val="19"/>
              </w:rPr>
              <w:t xml:space="preserve">Collected only when clinically indicated and available on the device.</w:t>
            </w:r>
          </w:p>
        </w:tc>
      </w:tr>
    </w:tbl>
    <w:p>
      <w:pPr>
        <w:spacing w:after="30"/>
      </w:pPr>
    </w:p>
    <w:tbl>
      <w:tblPr>
        <w:tblW w:type="dxa" w:w="10440"/>
        <w:tblBorders>
          <w:top w:val="single" w:color="BFE6F5" w:sz="4"/>
          <w:left w:val="single" w:color="1BA9E0" w:sz="30"/>
          <w:bottom w:val="single" w:color="BFE6F5" w:sz="4"/>
          <w:right w:val="single" w:color="BFE6F5" w:sz="4"/>
          <w:insideH w:val="none"/>
          <w:insideV w:val="none"/>
        </w:tblBorders>
      </w:tblPr>
      <w:tblGrid>
        <w:gridCol w:w="10440"/>
      </w:tblGrid>
      <w:tr>
        <w:tc>
          <w:tcPr>
            <w:tcW w:type="dxa" w:w="10440"/>
            <w:shd w:fill="E8F6FC" w:color="auto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0D2C48"/>
                <w:sz w:val="19"/>
                <w:szCs w:val="19"/>
              </w:rPr>
              <w:t xml:space="preserve">At export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3"/>
                <w:sz w:val="19"/>
                <w:szCs w:val="19"/>
              </w:rPr>
              <w:t xml:space="preserve">Include color fundus, structural OCT, and OCT-A (when available) in the raw export — DICOM when supported, otherwise the most complete vendor-supported raw format. Do not alter files inside the exported package, and never copy or synchronize the live Topcon database.</w:t>
            </w:r>
          </w:p>
        </w:tc>
      </w:tr>
    </w:tbl>
    <w:p>
      <w:pPr>
        <w:spacing w:after="40"/>
      </w:pPr>
    </w:p>
    <w:tbl>
      <w:tblPr>
        <w:tblW w:type="dxa" w:w="10440"/>
        <w:tblBorders>
          <w:top w:val="single" w:color="E0A021" w:sz="4"/>
          <w:left w:val="single" w:color="E0A021" w:sz="30"/>
          <w:bottom w:val="single" w:color="E0A021" w:sz="4"/>
          <w:right w:val="single" w:color="E0A021" w:sz="4"/>
          <w:insideH w:val="none"/>
          <w:insideV w:val="none"/>
        </w:tblBorders>
      </w:tblPr>
      <w:tblGrid>
        <w:gridCol w:w="10440"/>
      </w:tblGrid>
      <w:tr>
        <w:tc>
          <w:tcPr>
            <w:tcW w:type="dxa" w:w="10440"/>
            <w:shd w:fill="FFF7E6" w:color="auto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0D2C48"/>
                <w:sz w:val="19"/>
                <w:szCs w:val="19"/>
              </w:rPr>
              <w:t xml:space="preserve">⚠  Clinical care comes first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3"/>
                <w:sz w:val="19"/>
                <w:szCs w:val="19"/>
              </w:rPr>
              <w:t xml:space="preserve">These modalities are part of routine care. Research use does not change acquisition, and AI outputs are investigational — they do not guide care and are not communicated to patients.</w:t>
            </w:r>
          </w:p>
        </w:tc>
      </w:tr>
    </w:tbl>
    <w:p>
      <w:pPr>
        <w:spacing w:after="40"/>
      </w:pPr>
    </w:p>
    <w:tbl>
      <w:tblPr>
        <w:tblW w:type="dxa" w:w="10440"/>
        <w:tblBorders>
          <w:top w:val="single" w:color="D8E2EA" w:sz="4"/>
          <w:left w:val="none"/>
          <w:bottom w:val="none"/>
          <w:right w:val="none"/>
          <w:insideH w:val="none"/>
          <w:insideV w:val="none"/>
        </w:tblBorders>
      </w:tblPr>
      <w:tblGrid>
        <w:gridCol w:w="6473"/>
        <w:gridCol w:w="3967"/>
      </w:tblGrid>
      <w:tr>
        <w:tc>
          <w:tcPr>
            <w:tcW w:type="dxa" w:w="6473"/>
            <w:tcMar>
              <w:top w:type="dxa" w:w="100"/>
              <w:left w:type="dxa" w:w="0"/>
              <w:bottom w:type="dxa" w:w="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D2C48"/>
                <w:sz w:val="15"/>
                <w:szCs w:val="15"/>
              </w:rPr>
              <w:t xml:space="preserve">SpectOcular — The Retinal Intelligence Platform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B6B7B"/>
                <w:sz w:val="15"/>
                <w:szCs w:val="15"/>
              </w:rPr>
              <w:t xml:space="preserve">Staff reference. Device: Topcon Maestro 3D. For imaging technique, follow the manufacturer’s instructions and your clinical protocol.</w:t>
            </w:r>
          </w:p>
        </w:tc>
        <w:tc>
          <w:tcPr>
            <w:tcW w:type="dxa" w:w="3967"/>
            <w:tcMar>
              <w:top w:type="dxa" w:w="100"/>
              <w:left w:type="dxa" w:w="80"/>
              <w:bottom w:type="dxa" w:w="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D2C48"/>
                <w:sz w:val="15"/>
                <w:szCs w:val="15"/>
              </w:rPr>
              <w:t xml:space="preserve">Version 1.0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B6B7B"/>
                <w:sz w:val="15"/>
                <w:szCs w:val="15"/>
              </w:rPr>
              <w:t xml:space="preserve">Effective ________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B6B7B"/>
                <w:sz w:val="15"/>
                <w:szCs w:val="15"/>
              </w:rPr>
              <w:t xml:space="preserve">Prepared by Sai H. Chavala, MD</w:t>
            </w:r>
          </w:p>
        </w:tc>
      </w:tr>
    </w:tbl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6b33ba7261e6644d99b5fe19952cc877b61a49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2026-08-02T16:04:58.598Z</dcterms:created>
  <dcterms:modified xsi:type="dcterms:W3CDTF">2026-08-02T16:04:58.598Z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